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27509" w14:textId="77777777" w:rsidR="003E4300" w:rsidRDefault="003E43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  <w:sz w:val="22"/>
          <w:szCs w:val="22"/>
        </w:rPr>
      </w:pPr>
    </w:p>
    <w:tbl>
      <w:tblPr>
        <w:tblStyle w:val="a"/>
        <w:tblW w:w="855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42"/>
        <w:gridCol w:w="1016"/>
      </w:tblGrid>
      <w:tr w:rsidR="003E4300" w14:paraId="4C84BF1F" w14:textId="77777777">
        <w:trPr>
          <w:trHeight w:val="324"/>
        </w:trPr>
        <w:tc>
          <w:tcPr>
            <w:tcW w:w="7542" w:type="dxa"/>
            <w:shd w:val="clear" w:color="auto" w:fill="B8CCE4"/>
          </w:tcPr>
          <w:p w14:paraId="16F0D77A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Item required.</w:t>
            </w:r>
          </w:p>
        </w:tc>
        <w:tc>
          <w:tcPr>
            <w:tcW w:w="1016" w:type="dxa"/>
            <w:shd w:val="clear" w:color="auto" w:fill="B8CCE4"/>
          </w:tcPr>
          <w:p w14:paraId="30872AE1" w14:textId="77777777" w:rsidR="003E4300" w:rsidRDefault="003E4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72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E4300" w14:paraId="68AB7622" w14:textId="77777777">
        <w:tc>
          <w:tcPr>
            <w:tcW w:w="7542" w:type="dxa"/>
          </w:tcPr>
          <w:p w14:paraId="1BA4E9BF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 xml:space="preserve">State the basis of accounts – Income and Expenditure (I&amp;E) </w:t>
            </w:r>
            <w:r>
              <w:rPr>
                <w:b/>
                <w:bCs/>
                <w:color w:val="000000"/>
                <w:u w:val="single"/>
              </w:rPr>
              <w:t>or</w:t>
            </w:r>
            <w:r>
              <w:rPr>
                <w:color w:val="000000"/>
              </w:rPr>
              <w:t xml:space="preserve"> Receipts and Payments (R&amp;P).</w:t>
            </w:r>
          </w:p>
        </w:tc>
        <w:tc>
          <w:tcPr>
            <w:tcW w:w="1016" w:type="dxa"/>
          </w:tcPr>
          <w:p w14:paraId="20A803EE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2B770789" w14:textId="77777777">
        <w:tc>
          <w:tcPr>
            <w:tcW w:w="7542" w:type="dxa"/>
          </w:tcPr>
          <w:p w14:paraId="14DFEACB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An explanation of any ‘No’ answers in Section 1 (Annual Governance Statement).</w:t>
            </w:r>
          </w:p>
        </w:tc>
        <w:tc>
          <w:tcPr>
            <w:tcW w:w="1016" w:type="dxa"/>
          </w:tcPr>
          <w:p w14:paraId="6D3F2B8F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65907627" w14:textId="77777777">
        <w:tc>
          <w:tcPr>
            <w:tcW w:w="7542" w:type="dxa"/>
          </w:tcPr>
          <w:p w14:paraId="1068CC8B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An explanation of any ‘No’ answers in the Annual Internal Audit Report.</w:t>
            </w:r>
          </w:p>
        </w:tc>
        <w:tc>
          <w:tcPr>
            <w:tcW w:w="1016" w:type="dxa"/>
          </w:tcPr>
          <w:p w14:paraId="1F7BA5B3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7F51B58B" w14:textId="77777777">
        <w:tc>
          <w:tcPr>
            <w:tcW w:w="7542" w:type="dxa"/>
          </w:tcPr>
          <w:p w14:paraId="7211A3DC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Copy of the notice for the period for the exercise of public rights (</w:t>
            </w:r>
            <w:hyperlink r:id="rId8">
              <w:r>
                <w:rPr>
                  <w:color w:val="0000FF"/>
                  <w:u w:val="single"/>
                </w:rPr>
                <w:t>p</w:t>
              </w:r>
              <w:r>
                <w:rPr>
                  <w:color w:val="0000FF"/>
                  <w:u w:val="single"/>
                </w:rPr>
                <w:t>ro-forma attached</w:t>
              </w:r>
            </w:hyperlink>
            <w:r>
              <w:rPr>
                <w:color w:val="000000"/>
              </w:rPr>
              <w:t>)</w:t>
            </w:r>
          </w:p>
        </w:tc>
        <w:tc>
          <w:tcPr>
            <w:tcW w:w="1016" w:type="dxa"/>
          </w:tcPr>
          <w:p w14:paraId="29C82C21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35E91115" w14:textId="77777777">
        <w:tc>
          <w:tcPr>
            <w:tcW w:w="7542" w:type="dxa"/>
          </w:tcPr>
          <w:p w14:paraId="7CAE813D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An explanation for the Council’s decision for their period for the exercise of public rights if different to the standard period (</w:t>
            </w:r>
            <w:proofErr w:type="gramStart"/>
            <w:r>
              <w:rPr>
                <w:color w:val="000000"/>
              </w:rPr>
              <w:t>i.e.</w:t>
            </w:r>
            <w:proofErr w:type="gramEnd"/>
            <w:r>
              <w:rPr>
                <w:color w:val="000000"/>
              </w:rPr>
              <w:t xml:space="preserve"> 3 June 2026 – 14 July 2026).</w:t>
            </w:r>
          </w:p>
        </w:tc>
        <w:tc>
          <w:tcPr>
            <w:tcW w:w="1016" w:type="dxa"/>
          </w:tcPr>
          <w:p w14:paraId="4DA10928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7483FD57" w14:textId="77777777">
        <w:tc>
          <w:tcPr>
            <w:tcW w:w="7542" w:type="dxa"/>
          </w:tcPr>
          <w:p w14:paraId="49412C65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Copy of the explanations of significant variances (</w:t>
            </w:r>
            <w:hyperlink r:id="rId9">
              <w:r>
                <w:rPr>
                  <w:color w:val="0000FF"/>
                  <w:u w:val="single"/>
                </w:rPr>
                <w:t>pro-forma attached</w:t>
              </w:r>
            </w:hyperlink>
            <w:r>
              <w:rPr>
                <w:color w:val="000000"/>
              </w:rPr>
              <w:t xml:space="preserve">) – </w:t>
            </w:r>
            <w:r>
              <w:rPr>
                <w:color w:val="000000"/>
                <w:u w:val="single"/>
              </w:rPr>
              <w:t>with numerical support</w:t>
            </w:r>
            <w:r>
              <w:rPr>
                <w:color w:val="000000"/>
              </w:rPr>
              <w:t>:</w:t>
            </w:r>
          </w:p>
          <w:p w14:paraId="6450E965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720"/>
              <w:rPr>
                <w:color w:val="000000"/>
              </w:rPr>
            </w:pPr>
            <w:r>
              <w:rPr>
                <w:color w:val="000000"/>
              </w:rPr>
              <w:t>For boxes 2 – 10 in the Accounting Statements, where the 2026 figure is 15% greater than, or 15% less than, the 2025 figure</w:t>
            </w:r>
            <w:r>
              <w:rPr>
                <w:b/>
                <w:bCs/>
                <w:color w:val="000000"/>
              </w:rPr>
              <w:t xml:space="preserve"> unless</w:t>
            </w:r>
            <w:r>
              <w:rPr>
                <w:color w:val="000000"/>
              </w:rPr>
              <w:t xml:space="preserve"> the variance is less than £500.</w:t>
            </w:r>
          </w:p>
          <w:p w14:paraId="0F16A535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720"/>
              <w:rPr>
                <w:color w:val="000000"/>
              </w:rPr>
            </w:pPr>
            <w:r>
              <w:rPr>
                <w:color w:val="000000"/>
              </w:rPr>
              <w:t>Please also provide an explanation if the variance is greater than £100,000 regardless of whe</w:t>
            </w:r>
            <w:r>
              <w:rPr>
                <w:color w:val="000000"/>
              </w:rPr>
              <w:t>ther this is less than 15%.</w:t>
            </w:r>
          </w:p>
          <w:p w14:paraId="72CC89BD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720"/>
              <w:rPr>
                <w:color w:val="000000"/>
              </w:rPr>
            </w:pPr>
            <w:r>
              <w:rPr>
                <w:color w:val="000000"/>
              </w:rPr>
              <w:t>Note: If an explanation is required for the variance of Box 4 and the explanation refers to a change in hours or a change in pay rates, please could you note the previous hours/rates and the updated hours/rates.</w:t>
            </w:r>
          </w:p>
        </w:tc>
        <w:tc>
          <w:tcPr>
            <w:tcW w:w="1016" w:type="dxa"/>
          </w:tcPr>
          <w:p w14:paraId="2BCD0D4D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6986763D" w14:textId="77777777">
        <w:tc>
          <w:tcPr>
            <w:tcW w:w="7542" w:type="dxa"/>
          </w:tcPr>
          <w:p w14:paraId="069ADF8E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Copy of the bank reconciliation(s) (</w:t>
            </w:r>
            <w:hyperlink r:id="rId10">
              <w:r>
                <w:rPr>
                  <w:color w:val="0000FF"/>
                  <w:u w:val="single"/>
                </w:rPr>
                <w:t>pro-forma attached</w:t>
              </w:r>
            </w:hyperlink>
            <w:r>
              <w:rPr>
                <w:color w:val="000000"/>
              </w:rPr>
              <w:t>) for all bank accounts held in the authority’s name.</w:t>
            </w:r>
          </w:p>
        </w:tc>
        <w:tc>
          <w:tcPr>
            <w:tcW w:w="1016" w:type="dxa"/>
          </w:tcPr>
          <w:p w14:paraId="7E7F0241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17F61A35" w14:textId="77777777">
        <w:tc>
          <w:tcPr>
            <w:tcW w:w="7542" w:type="dxa"/>
          </w:tcPr>
          <w:p w14:paraId="66730176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State whether the Council operate with a petty cash system.</w:t>
            </w:r>
          </w:p>
        </w:tc>
        <w:tc>
          <w:tcPr>
            <w:tcW w:w="1016" w:type="dxa"/>
          </w:tcPr>
          <w:p w14:paraId="650BFD02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N/Ae</w:t>
            </w:r>
          </w:p>
        </w:tc>
      </w:tr>
      <w:tr w:rsidR="003E4300" w14:paraId="7EFC4E39" w14:textId="77777777">
        <w:tc>
          <w:tcPr>
            <w:tcW w:w="7542" w:type="dxa"/>
          </w:tcPr>
          <w:p w14:paraId="57582CFB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Copy of the reconciliation between boxes 7 and 8 (</w:t>
            </w:r>
            <w:hyperlink r:id="rId11">
              <w:r>
                <w:rPr>
                  <w:color w:val="0000FF"/>
                  <w:u w:val="single"/>
                </w:rPr>
                <w:t>pro-forma attached</w:t>
              </w:r>
            </w:hyperlink>
            <w:r>
              <w:rPr>
                <w:color w:val="000000"/>
              </w:rPr>
              <w:t>) – this must be quantified.</w:t>
            </w:r>
          </w:p>
        </w:tc>
        <w:tc>
          <w:tcPr>
            <w:tcW w:w="1016" w:type="dxa"/>
          </w:tcPr>
          <w:p w14:paraId="6CC28F31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33E7A6FE" w14:textId="77777777">
        <w:tc>
          <w:tcPr>
            <w:tcW w:w="7542" w:type="dxa"/>
          </w:tcPr>
          <w:p w14:paraId="3051D1A0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 xml:space="preserve">Where </w:t>
            </w:r>
            <w:r>
              <w:rPr>
                <w:b/>
                <w:bCs/>
                <w:color w:val="000000"/>
                <w:u w:val="single"/>
              </w:rPr>
              <w:t>other income (Box 3) is greater than £100k and 50% of precept</w:t>
            </w:r>
            <w:r>
              <w:rPr>
                <w:color w:val="000000"/>
              </w:rPr>
              <w:t>, we require a breakdown of other income for 2024/25 and 2025/26.</w:t>
            </w:r>
          </w:p>
        </w:tc>
        <w:tc>
          <w:tcPr>
            <w:tcW w:w="1016" w:type="dxa"/>
          </w:tcPr>
          <w:p w14:paraId="4DE3B6C6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3E4300" w14:paraId="16D5CF2B" w14:textId="77777777">
        <w:tc>
          <w:tcPr>
            <w:tcW w:w="7542" w:type="dxa"/>
          </w:tcPr>
          <w:p w14:paraId="58FE28AD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A breakdown of the types of reserves (</w:t>
            </w:r>
            <w:hyperlink r:id="rId12">
              <w:r>
                <w:rPr>
                  <w:color w:val="0000FF"/>
                  <w:u w:val="single"/>
                </w:rPr>
                <w:t>pro-forma attached</w:t>
              </w:r>
            </w:hyperlink>
            <w:r>
              <w:rPr>
                <w:color w:val="000000"/>
              </w:rPr>
              <w:t>) held between general reserves, earmarked reserves and restricted (ring-fenced) reserves.</w:t>
            </w:r>
          </w:p>
        </w:tc>
        <w:tc>
          <w:tcPr>
            <w:tcW w:w="1016" w:type="dxa"/>
          </w:tcPr>
          <w:p w14:paraId="296B5CDA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4300" w14:paraId="30575D20" w14:textId="77777777">
        <w:tc>
          <w:tcPr>
            <w:tcW w:w="7542" w:type="dxa"/>
          </w:tcPr>
          <w:p w14:paraId="23797266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Where any investments are included as part of the Box 9 figure, please provide a summary of these amounts.</w:t>
            </w:r>
          </w:p>
        </w:tc>
        <w:tc>
          <w:tcPr>
            <w:tcW w:w="1016" w:type="dxa"/>
          </w:tcPr>
          <w:p w14:paraId="05267B5D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3E4300" w14:paraId="4F989C4F" w14:textId="77777777">
        <w:tc>
          <w:tcPr>
            <w:tcW w:w="7542" w:type="dxa"/>
          </w:tcPr>
          <w:p w14:paraId="229C7343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State whether the Council use the general power of competence.</w:t>
            </w:r>
          </w:p>
        </w:tc>
        <w:tc>
          <w:tcPr>
            <w:tcW w:w="1016" w:type="dxa"/>
          </w:tcPr>
          <w:p w14:paraId="66FE94A0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N/Aa</w:t>
            </w:r>
          </w:p>
        </w:tc>
      </w:tr>
      <w:tr w:rsidR="003E4300" w14:paraId="3A1D61D1" w14:textId="77777777">
        <w:tc>
          <w:tcPr>
            <w:tcW w:w="7542" w:type="dxa"/>
          </w:tcPr>
          <w:p w14:paraId="2CB168E7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hanging="567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Where </w:t>
            </w:r>
            <w:r>
              <w:rPr>
                <w:b/>
                <w:bCs/>
                <w:i/>
                <w:iCs/>
                <w:color w:val="000000"/>
                <w:u w:val="single"/>
              </w:rPr>
              <w:t>income (total of Boxes 2 to 3) or expenditure (total of Boxes 4 to 6) is greater than £2m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then we will also require: </w:t>
            </w:r>
          </w:p>
          <w:p w14:paraId="2D123678" w14:textId="77777777" w:rsidR="003E4300" w:rsidRDefault="009F02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 copy of the full internal auditor report provided by your internal auditor (IA); </w:t>
            </w:r>
          </w:p>
          <w:p w14:paraId="2EC05730" w14:textId="77777777" w:rsidR="003E4300" w:rsidRDefault="009F02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Supporting evidence of:</w:t>
            </w:r>
          </w:p>
          <w:p w14:paraId="23DD8BC1" w14:textId="77777777" w:rsidR="003E4300" w:rsidRDefault="009F029F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7" w:hanging="284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the council’s assessment that </w:t>
            </w:r>
            <w:r>
              <w:rPr>
                <w:i/>
                <w:iCs/>
                <w:color w:val="000000"/>
              </w:rPr>
              <w:t>the IA is independent of the council.</w:t>
            </w:r>
          </w:p>
          <w:p w14:paraId="05473140" w14:textId="77777777" w:rsidR="003E4300" w:rsidRDefault="009F029F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284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the council’s assessment that the IA is competent to undertake the role.</w:t>
            </w:r>
          </w:p>
          <w:p w14:paraId="17391854" w14:textId="77777777" w:rsidR="003E4300" w:rsidRDefault="009F029F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284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the current and appropriate letter of engagement</w:t>
            </w:r>
          </w:p>
          <w:p w14:paraId="04670B36" w14:textId="77777777" w:rsidR="003E4300" w:rsidRDefault="009F029F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284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the authority considering and agreeing the IA programme of work against its identified risks.</w:t>
            </w:r>
          </w:p>
          <w:p w14:paraId="0025CF0B" w14:textId="77777777" w:rsidR="003E4300" w:rsidRDefault="009F029F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284"/>
            </w:pPr>
            <w:r>
              <w:rPr>
                <w:i/>
                <w:iCs/>
                <w:color w:val="000000"/>
              </w:rPr>
              <w:t xml:space="preserve">copies of the minutes of the meetings considering the IA’s findings together with evidence that any recommendations have been addressed; </w:t>
            </w:r>
            <w:r>
              <w:rPr>
                <w:b/>
                <w:bCs/>
                <w:i/>
                <w:iCs/>
                <w:color w:val="000000"/>
              </w:rPr>
              <w:t>and</w:t>
            </w:r>
          </w:p>
          <w:p w14:paraId="458483DB" w14:textId="77777777" w:rsidR="003E4300" w:rsidRDefault="009F029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3"/>
            </w:pPr>
            <w:r>
              <w:rPr>
                <w:i/>
                <w:iCs/>
                <w:color w:val="000000"/>
              </w:rPr>
              <w:t>Bank statements cover</w:t>
            </w:r>
            <w:r>
              <w:rPr>
                <w:i/>
                <w:iCs/>
                <w:color w:val="000000"/>
              </w:rPr>
              <w:t>ing 31 March 2026 to support the bank reconciliation(s) provided</w:t>
            </w:r>
          </w:p>
          <w:p w14:paraId="07C33E82" w14:textId="77777777" w:rsidR="003E4300" w:rsidRDefault="003E4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720"/>
              <w:rPr>
                <w:color w:val="000000"/>
                <w:sz w:val="10"/>
                <w:szCs w:val="10"/>
              </w:rPr>
            </w:pPr>
          </w:p>
        </w:tc>
        <w:tc>
          <w:tcPr>
            <w:tcW w:w="1016" w:type="dxa"/>
          </w:tcPr>
          <w:p w14:paraId="6841A9D6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N/A</w:t>
            </w:r>
          </w:p>
        </w:tc>
      </w:tr>
      <w:tr w:rsidR="003E4300" w14:paraId="3D134526" w14:textId="77777777">
        <w:tc>
          <w:tcPr>
            <w:tcW w:w="7542" w:type="dxa"/>
          </w:tcPr>
          <w:p w14:paraId="143E580F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State the accounting system being used by the Council (</w:t>
            </w:r>
            <w:proofErr w:type="gramStart"/>
            <w:r>
              <w:rPr>
                <w:color w:val="000000"/>
              </w:rPr>
              <w:t>i.e.</w:t>
            </w:r>
            <w:proofErr w:type="gramEnd"/>
            <w:r>
              <w:rPr>
                <w:color w:val="000000"/>
              </w:rPr>
              <w:t xml:space="preserve"> Scribe, Excel, etc).</w:t>
            </w:r>
          </w:p>
        </w:tc>
        <w:tc>
          <w:tcPr>
            <w:tcW w:w="1016" w:type="dxa"/>
          </w:tcPr>
          <w:p w14:paraId="36C4F5B7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Excel</w:t>
            </w:r>
          </w:p>
        </w:tc>
      </w:tr>
      <w:tr w:rsidR="003E4300" w14:paraId="58369A52" w14:textId="77777777">
        <w:tc>
          <w:tcPr>
            <w:tcW w:w="7542" w:type="dxa"/>
          </w:tcPr>
          <w:p w14:paraId="27508A37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Provide the hours/days worked by the Clerk and RFO including any scheduled holidays until the end of September. This will help ensure that we coordinate our responses in line with your requirements.</w:t>
            </w:r>
          </w:p>
        </w:tc>
        <w:tc>
          <w:tcPr>
            <w:tcW w:w="1016" w:type="dxa"/>
          </w:tcPr>
          <w:p w14:paraId="57D3176D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10hrs pw</w:t>
            </w:r>
          </w:p>
        </w:tc>
      </w:tr>
      <w:tr w:rsidR="003E4300" w14:paraId="40E7DAC6" w14:textId="77777777">
        <w:tc>
          <w:tcPr>
            <w:tcW w:w="7542" w:type="dxa"/>
          </w:tcPr>
          <w:p w14:paraId="41CB20F1" w14:textId="77777777" w:rsidR="003E4300" w:rsidRDefault="009F02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567" w:hanging="567"/>
            </w:pPr>
            <w:r>
              <w:rPr>
                <w:color w:val="000000"/>
              </w:rPr>
              <w:t>Copy of this completed sheet provided with your</w:t>
            </w:r>
            <w:r>
              <w:rPr>
                <w:color w:val="000000"/>
              </w:rPr>
              <w:t xml:space="preserve"> AGAR submission.</w:t>
            </w:r>
          </w:p>
        </w:tc>
        <w:tc>
          <w:tcPr>
            <w:tcW w:w="1016" w:type="dxa"/>
          </w:tcPr>
          <w:p w14:paraId="28BB9FA2" w14:textId="77777777" w:rsidR="003E4300" w:rsidRDefault="009F0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1080" w:hanging="7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14:paraId="19C0BE5D" w14:textId="77777777" w:rsidR="003E4300" w:rsidRDefault="003E4300"/>
    <w:sectPr w:rsidR="003E4300">
      <w:headerReference w:type="default" r:id="rId13"/>
      <w:pgSz w:w="11906" w:h="16838"/>
      <w:pgMar w:top="993" w:right="1440" w:bottom="284" w:left="144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7C227" w14:textId="77777777" w:rsidR="00000000" w:rsidRDefault="009F029F">
      <w:pPr>
        <w:spacing w:after="0"/>
      </w:pPr>
      <w:r>
        <w:separator/>
      </w:r>
    </w:p>
  </w:endnote>
  <w:endnote w:type="continuationSeparator" w:id="0">
    <w:p w14:paraId="2C587CCD" w14:textId="77777777" w:rsidR="00000000" w:rsidRDefault="009F02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16A2ABF-9556-42A1-99D3-D7918A9FFC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0C7B23C0-790E-4BA6-BD31-CD22D92760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439DC7-4BDD-4879-80D0-AAF6D3006A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499D07-86AE-43FC-B2D6-97CE78F181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3C6DC" w14:textId="77777777" w:rsidR="00000000" w:rsidRDefault="009F029F">
      <w:pPr>
        <w:spacing w:after="0"/>
      </w:pPr>
      <w:r>
        <w:separator/>
      </w:r>
    </w:p>
  </w:footnote>
  <w:footnote w:type="continuationSeparator" w:id="0">
    <w:p w14:paraId="3C1D4C4B" w14:textId="77777777" w:rsidR="00000000" w:rsidRDefault="009F02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51B5" w14:textId="77777777" w:rsidR="003E4300" w:rsidRDefault="009F029F">
    <w:pPr>
      <w:pStyle w:val="Heading2"/>
      <w:spacing w:after="240"/>
      <w:rPr>
        <w:color w:val="000000"/>
        <w:sz w:val="28"/>
        <w:szCs w:val="28"/>
      </w:rPr>
    </w:pPr>
    <w:r>
      <w:rPr>
        <w:color w:val="000000"/>
        <w:sz w:val="28"/>
        <w:szCs w:val="28"/>
      </w:rPr>
      <w:t>Additional information to be submitted with Part 3 AGAR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CBD"/>
    <w:multiLevelType w:val="multilevel"/>
    <w:tmpl w:val="45B4889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4FD5423"/>
    <w:multiLevelType w:val="multilevel"/>
    <w:tmpl w:val="EF1A7EC6"/>
    <w:lvl w:ilvl="0">
      <w:start w:val="1"/>
      <w:numFmt w:val="decimal"/>
      <w:lvlText w:val="%1."/>
      <w:lvlJc w:val="left"/>
      <w:pPr>
        <w:ind w:left="4831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C5DDE"/>
    <w:multiLevelType w:val="multilevel"/>
    <w:tmpl w:val="9E8A8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DD7F4E"/>
    <w:multiLevelType w:val="multilevel"/>
    <w:tmpl w:val="684C9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300"/>
    <w:rsid w:val="003E4300"/>
    <w:rsid w:val="009F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EBA07"/>
  <w15:docId w15:val="{4632A047-ADC2-49AE-9277-3C6AC8D1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0"/>
      <w:outlineLvl w:val="1"/>
    </w:pPr>
    <w:rPr>
      <w:b/>
      <w:bCs/>
      <w:color w:val="1F497D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officeapps.live.com/op/view.aspx?src=https%3A%2F%2Fmooreeastmidlands.co.uk%2Fapp%2Fuploads%2F2026%2F03%2FNotice-of-Public-Rights.docx&amp;wdOrigin=BROWSELIN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oreeastmidlands.co.uk/app/uploads/2026/03/Breakdown-of-Reserves-Held-Proforma.xls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officeapps.live.com/op/view.aspx?src=https%3A%2F%2Fmooreeastmidlands.co.uk%2Fapp%2Fuploads%2F2026%2F03%2FReconciliation-between-Box-7-and-Box-8-Proforma.xlsx&amp;wdOrigin=BROWSELI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ooreeastmidlands.co.uk/app/uploads/2026/03/Bank-Reconciliation-Proforma.xls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ew.officeapps.live.com/op/view.aspx?src=https%3A%2F%2Fmooreeastmidlands.co.uk%2Fapp%2Fuploads%2F2026%2F03%2FExplanation-of-Variances-Proforma.xlsx&amp;wdOrigin=BROWSELI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PESzb7RxKw9z5rZmqDiR+0UBQ==">CgMxLjA4AHIhMURnUjFOTm1seTZjTGFaR0kyVU8xeDlTdXVSZHJUZWZF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skinner</dc:creator>
  <cp:lastModifiedBy>michelle skinner</cp:lastModifiedBy>
  <cp:revision>2</cp:revision>
  <dcterms:created xsi:type="dcterms:W3CDTF">2026-07-03T15:01:00Z</dcterms:created>
  <dcterms:modified xsi:type="dcterms:W3CDTF">2026-07-03T15:01:00Z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0x01010048E3210FC8CC244385F67BCD3701AFAE</vt:lpwstr>
  </property>
  <property fmtid="{D5CDD505-2E9C-101B-9397-08002B2CF9AE}" pid="3" name="Order">
    <vt:lpwstr>56553000</vt:lpwstr>
  </property>
  <property fmtid="{D5CDD505-2E9C-101B-9397-08002B2CF9AE}" pid="4" name="MediaServiceImageTags">
    <vt:lpwstr>MediaServiceImageTags</vt:lpwstr>
  </property>
</Properties>
</file>